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2B7D9" w14:textId="70003354" w:rsidR="00E5372E" w:rsidRDefault="008B5EB4" w:rsidP="000A2243">
      <w:pPr>
        <w:pStyle w:val="Titre1"/>
        <w:jc w:val="center"/>
      </w:pPr>
      <w:r>
        <w:t>Le risque climatique</w:t>
      </w:r>
      <w:r w:rsidR="006525C0">
        <w:t xml:space="preserve">, </w:t>
      </w:r>
      <w:r w:rsidR="00DF245B">
        <w:t xml:space="preserve">un nouveau défi pour les Banques centrales </w:t>
      </w:r>
    </w:p>
    <w:p w14:paraId="3D9449E4" w14:textId="7CE388B1" w:rsidR="00EB392B" w:rsidRDefault="00EB392B">
      <w:pPr>
        <w:rPr>
          <w:rFonts w:ascii="Verdana" w:hAnsi="Verdana"/>
          <w:sz w:val="24"/>
          <w:szCs w:val="24"/>
        </w:rPr>
      </w:pPr>
    </w:p>
    <w:p w14:paraId="3FFFD879" w14:textId="0ACA00C2" w:rsidR="00EB392B" w:rsidRPr="000A2243" w:rsidRDefault="00C61C13" w:rsidP="000A224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Banque centrale du Japon </w:t>
      </w:r>
      <w:r w:rsidR="006F324A">
        <w:rPr>
          <w:rFonts w:ascii="Verdana" w:hAnsi="Verdana"/>
          <w:sz w:val="20"/>
          <w:szCs w:val="20"/>
        </w:rPr>
        <w:t xml:space="preserve">(BOJ) </w:t>
      </w:r>
      <w:r>
        <w:rPr>
          <w:rFonts w:ascii="Verdana" w:hAnsi="Verdana"/>
          <w:sz w:val="20"/>
          <w:szCs w:val="20"/>
        </w:rPr>
        <w:t xml:space="preserve">est la première Banque centrale </w:t>
      </w:r>
      <w:r w:rsidR="002235E8">
        <w:rPr>
          <w:rFonts w:ascii="Verdana" w:hAnsi="Verdana"/>
          <w:sz w:val="20"/>
          <w:szCs w:val="20"/>
        </w:rPr>
        <w:t xml:space="preserve">à inclure dans sa politique </w:t>
      </w:r>
      <w:r w:rsidR="003B0CD4">
        <w:rPr>
          <w:rFonts w:ascii="Verdana" w:hAnsi="Verdana"/>
          <w:sz w:val="20"/>
          <w:szCs w:val="20"/>
        </w:rPr>
        <w:t xml:space="preserve">monétaire </w:t>
      </w:r>
      <w:r w:rsidR="002235E8">
        <w:rPr>
          <w:rFonts w:ascii="Verdana" w:hAnsi="Verdana"/>
          <w:sz w:val="20"/>
          <w:szCs w:val="20"/>
        </w:rPr>
        <w:t xml:space="preserve">la question du </w:t>
      </w:r>
      <w:r w:rsidR="009C7F13">
        <w:rPr>
          <w:rFonts w:ascii="Verdana" w:hAnsi="Verdana"/>
          <w:sz w:val="20"/>
          <w:szCs w:val="20"/>
        </w:rPr>
        <w:t>climat et elle coiffe même la BCE qui</w:t>
      </w:r>
      <w:r w:rsidR="006F324A">
        <w:rPr>
          <w:rFonts w:ascii="Verdana" w:hAnsi="Verdana"/>
          <w:sz w:val="20"/>
          <w:szCs w:val="20"/>
        </w:rPr>
        <w:t>,</w:t>
      </w:r>
      <w:r w:rsidR="009C7F13">
        <w:rPr>
          <w:rFonts w:ascii="Verdana" w:hAnsi="Verdana"/>
          <w:sz w:val="20"/>
          <w:szCs w:val="20"/>
        </w:rPr>
        <w:t xml:space="preserve"> </w:t>
      </w:r>
      <w:r w:rsidR="002F6138">
        <w:rPr>
          <w:rFonts w:ascii="Verdana" w:hAnsi="Verdana"/>
          <w:sz w:val="20"/>
          <w:szCs w:val="20"/>
        </w:rPr>
        <w:t>depuis l’arrivée de Christine Lagarde</w:t>
      </w:r>
      <w:r w:rsidR="006F324A">
        <w:rPr>
          <w:rFonts w:ascii="Verdana" w:hAnsi="Verdana"/>
          <w:sz w:val="20"/>
          <w:szCs w:val="20"/>
        </w:rPr>
        <w:t>,</w:t>
      </w:r>
      <w:r w:rsidR="002F6138">
        <w:rPr>
          <w:rFonts w:ascii="Verdana" w:hAnsi="Verdana"/>
          <w:sz w:val="20"/>
          <w:szCs w:val="20"/>
        </w:rPr>
        <w:t xml:space="preserve"> se penche sur la question sans </w:t>
      </w:r>
      <w:r w:rsidR="003B0CD4">
        <w:rPr>
          <w:rFonts w:ascii="Verdana" w:hAnsi="Verdana"/>
          <w:sz w:val="20"/>
          <w:szCs w:val="20"/>
        </w:rPr>
        <w:t xml:space="preserve">encore </w:t>
      </w:r>
      <w:r w:rsidR="002F6138">
        <w:rPr>
          <w:rFonts w:ascii="Verdana" w:hAnsi="Verdana"/>
          <w:sz w:val="20"/>
          <w:szCs w:val="20"/>
        </w:rPr>
        <w:t xml:space="preserve">avoir arrêté sa position. </w:t>
      </w:r>
      <w:r w:rsidR="006F324A">
        <w:rPr>
          <w:rFonts w:ascii="Verdana" w:hAnsi="Verdana"/>
          <w:sz w:val="20"/>
          <w:szCs w:val="20"/>
        </w:rPr>
        <w:t>En quoi cette annonce de la BOJ est</w:t>
      </w:r>
      <w:r w:rsidR="007663FF">
        <w:rPr>
          <w:rFonts w:ascii="Verdana" w:hAnsi="Verdana"/>
          <w:sz w:val="20"/>
          <w:szCs w:val="20"/>
        </w:rPr>
        <w:t>-elle</w:t>
      </w:r>
      <w:r w:rsidR="006F324A">
        <w:rPr>
          <w:rFonts w:ascii="Verdana" w:hAnsi="Verdana"/>
          <w:sz w:val="20"/>
          <w:szCs w:val="20"/>
        </w:rPr>
        <w:t xml:space="preserve"> </w:t>
      </w:r>
      <w:r w:rsidR="00236987">
        <w:rPr>
          <w:rFonts w:ascii="Verdana" w:hAnsi="Verdana"/>
          <w:sz w:val="20"/>
          <w:szCs w:val="20"/>
        </w:rPr>
        <w:t xml:space="preserve">particulière et une </w:t>
      </w:r>
      <w:r w:rsidR="009052C0">
        <w:rPr>
          <w:rFonts w:ascii="Verdana" w:hAnsi="Verdana"/>
          <w:sz w:val="20"/>
          <w:szCs w:val="20"/>
        </w:rPr>
        <w:t xml:space="preserve">grande </w:t>
      </w:r>
      <w:r w:rsidR="00236987">
        <w:rPr>
          <w:rFonts w:ascii="Verdana" w:hAnsi="Verdana"/>
          <w:sz w:val="20"/>
          <w:szCs w:val="20"/>
        </w:rPr>
        <w:t>première</w:t>
      </w:r>
      <w:r w:rsidR="009052C0">
        <w:rPr>
          <w:rFonts w:ascii="Verdana" w:hAnsi="Verdana"/>
          <w:sz w:val="20"/>
          <w:szCs w:val="20"/>
        </w:rPr>
        <w:t> ? Et du coup,</w:t>
      </w:r>
      <w:r w:rsidR="00236987">
        <w:rPr>
          <w:rFonts w:ascii="Verdana" w:hAnsi="Verdana"/>
          <w:sz w:val="20"/>
          <w:szCs w:val="20"/>
        </w:rPr>
        <w:t xml:space="preserve"> toutes les </w:t>
      </w:r>
      <w:r w:rsidR="000B4350">
        <w:rPr>
          <w:rFonts w:ascii="Verdana" w:hAnsi="Verdana"/>
          <w:sz w:val="20"/>
          <w:szCs w:val="20"/>
        </w:rPr>
        <w:t>B</w:t>
      </w:r>
      <w:r w:rsidR="00236987">
        <w:rPr>
          <w:rFonts w:ascii="Verdana" w:hAnsi="Verdana"/>
          <w:sz w:val="20"/>
          <w:szCs w:val="20"/>
        </w:rPr>
        <w:t xml:space="preserve">anques centrales </w:t>
      </w:r>
      <w:r w:rsidR="009052C0">
        <w:rPr>
          <w:rFonts w:ascii="Verdana" w:hAnsi="Verdana"/>
          <w:sz w:val="20"/>
          <w:szCs w:val="20"/>
        </w:rPr>
        <w:t>pourraient</w:t>
      </w:r>
      <w:r w:rsidR="002E4AC4">
        <w:rPr>
          <w:rFonts w:ascii="Verdana" w:hAnsi="Verdana"/>
          <w:sz w:val="20"/>
          <w:szCs w:val="20"/>
        </w:rPr>
        <w:t>-elles suivre ?</w:t>
      </w:r>
    </w:p>
    <w:p w14:paraId="2797CB20" w14:textId="32076EC9" w:rsidR="00EB392B" w:rsidRPr="00DE3D82" w:rsidRDefault="002E4AC4" w:rsidP="000A2243">
      <w:pPr>
        <w:jc w:val="both"/>
        <w:rPr>
          <w:rFonts w:ascii="Verdana" w:hAnsi="Verdana"/>
          <w:color w:val="00B0F0"/>
          <w:sz w:val="20"/>
          <w:szCs w:val="20"/>
        </w:rPr>
      </w:pPr>
      <w:r>
        <w:rPr>
          <w:rFonts w:ascii="Verdana" w:hAnsi="Verdana"/>
          <w:color w:val="00B0F0"/>
          <w:sz w:val="20"/>
          <w:szCs w:val="20"/>
        </w:rPr>
        <w:t xml:space="preserve">L’annonce </w:t>
      </w:r>
      <w:r w:rsidR="00415B68">
        <w:rPr>
          <w:rFonts w:ascii="Verdana" w:hAnsi="Verdana"/>
          <w:color w:val="00B0F0"/>
          <w:sz w:val="20"/>
          <w:szCs w:val="20"/>
        </w:rPr>
        <w:t>qui crée la surprise</w:t>
      </w:r>
    </w:p>
    <w:p w14:paraId="1ECEC976" w14:textId="79317BE9" w:rsidR="002E4AC4" w:rsidRDefault="00957DE6" w:rsidP="00AC67F9">
      <w:pPr>
        <w:tabs>
          <w:tab w:val="num" w:pos="72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L’annonc</w:t>
      </w:r>
      <w:r w:rsidR="00EE7545">
        <w:rPr>
          <w:rFonts w:ascii="Verdana" w:hAnsi="Verdana"/>
          <w:sz w:val="20"/>
          <w:szCs w:val="20"/>
        </w:rPr>
        <w:t>e</w:t>
      </w:r>
      <w:r w:rsidR="00490293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après sa réunion </w:t>
      </w:r>
      <w:r w:rsidR="009052C0">
        <w:rPr>
          <w:rFonts w:ascii="Verdana" w:hAnsi="Verdana"/>
          <w:sz w:val="20"/>
          <w:szCs w:val="20"/>
        </w:rPr>
        <w:t>du</w:t>
      </w:r>
      <w:r w:rsidR="004D55D1">
        <w:rPr>
          <w:rFonts w:ascii="Verdana" w:hAnsi="Verdana"/>
          <w:sz w:val="20"/>
          <w:szCs w:val="20"/>
        </w:rPr>
        <w:t xml:space="preserve"> 18 juin</w:t>
      </w:r>
      <w:r w:rsidR="009052C0">
        <w:rPr>
          <w:rFonts w:ascii="Verdana" w:hAnsi="Verdana"/>
          <w:sz w:val="20"/>
          <w:szCs w:val="20"/>
        </w:rPr>
        <w:t xml:space="preserve"> dernier</w:t>
      </w:r>
      <w:r w:rsidR="004D55D1">
        <w:rPr>
          <w:rFonts w:ascii="Verdana" w:hAnsi="Verdana"/>
          <w:sz w:val="20"/>
          <w:szCs w:val="20"/>
        </w:rPr>
        <w:t xml:space="preserve">, d’un plan </w:t>
      </w:r>
      <w:r w:rsidR="002E4AC4" w:rsidRPr="002E4AC4">
        <w:rPr>
          <w:rFonts w:ascii="Verdana" w:hAnsi="Verdana"/>
          <w:sz w:val="20"/>
          <w:szCs w:val="20"/>
        </w:rPr>
        <w:t>visant à accroître le financement de la lutte contre le changement climatique</w:t>
      </w:r>
      <w:r w:rsidR="00AC67F9">
        <w:rPr>
          <w:rFonts w:ascii="Verdana" w:hAnsi="Verdana"/>
          <w:sz w:val="20"/>
          <w:szCs w:val="20"/>
        </w:rPr>
        <w:t xml:space="preserve"> a créé la surprise. </w:t>
      </w:r>
      <w:r w:rsidR="00615ECE">
        <w:rPr>
          <w:rFonts w:ascii="Verdana" w:hAnsi="Verdana"/>
          <w:sz w:val="20"/>
          <w:szCs w:val="20"/>
        </w:rPr>
        <w:t>D’une part</w:t>
      </w:r>
      <w:r w:rsidR="009052C0">
        <w:rPr>
          <w:rFonts w:ascii="Verdana" w:hAnsi="Verdana"/>
          <w:sz w:val="20"/>
          <w:szCs w:val="20"/>
        </w:rPr>
        <w:t>,</w:t>
      </w:r>
      <w:r w:rsidR="00615ECE">
        <w:rPr>
          <w:rFonts w:ascii="Verdana" w:hAnsi="Verdana"/>
          <w:sz w:val="20"/>
          <w:szCs w:val="20"/>
        </w:rPr>
        <w:t xml:space="preserve"> parce que ce plan devrait </w:t>
      </w:r>
      <w:r w:rsidR="00CD12C8">
        <w:rPr>
          <w:rFonts w:ascii="Verdana" w:hAnsi="Verdana"/>
          <w:sz w:val="20"/>
          <w:szCs w:val="20"/>
        </w:rPr>
        <w:t>être déjà d’application d’ici la fin de l’année et d’autre part</w:t>
      </w:r>
      <w:r w:rsidR="009052C0">
        <w:rPr>
          <w:rFonts w:ascii="Verdana" w:hAnsi="Verdana"/>
          <w:sz w:val="20"/>
          <w:szCs w:val="20"/>
        </w:rPr>
        <w:t>,</w:t>
      </w:r>
      <w:r w:rsidR="00CD12C8">
        <w:rPr>
          <w:rFonts w:ascii="Verdana" w:hAnsi="Verdana"/>
          <w:sz w:val="20"/>
          <w:szCs w:val="20"/>
        </w:rPr>
        <w:t xml:space="preserve"> </w:t>
      </w:r>
      <w:r w:rsidR="00C62E3C">
        <w:rPr>
          <w:rFonts w:ascii="Verdana" w:hAnsi="Verdana"/>
          <w:sz w:val="20"/>
          <w:szCs w:val="20"/>
        </w:rPr>
        <w:t>parce que la BOJ se distingue</w:t>
      </w:r>
      <w:r w:rsidR="00415B68">
        <w:rPr>
          <w:rFonts w:ascii="Verdana" w:hAnsi="Verdana"/>
          <w:sz w:val="20"/>
          <w:szCs w:val="20"/>
        </w:rPr>
        <w:t xml:space="preserve"> ainsi</w:t>
      </w:r>
      <w:r w:rsidR="00C62E3C">
        <w:rPr>
          <w:rFonts w:ascii="Verdana" w:hAnsi="Verdana"/>
          <w:sz w:val="20"/>
          <w:szCs w:val="20"/>
        </w:rPr>
        <w:t xml:space="preserve"> des autres </w:t>
      </w:r>
      <w:r w:rsidR="009052C0">
        <w:rPr>
          <w:rFonts w:ascii="Verdana" w:hAnsi="Verdana"/>
          <w:sz w:val="20"/>
          <w:szCs w:val="20"/>
        </w:rPr>
        <w:t>B</w:t>
      </w:r>
      <w:r w:rsidR="00C62E3C">
        <w:rPr>
          <w:rFonts w:ascii="Verdana" w:hAnsi="Verdana"/>
          <w:sz w:val="20"/>
          <w:szCs w:val="20"/>
        </w:rPr>
        <w:t>anques centrales.</w:t>
      </w:r>
    </w:p>
    <w:p w14:paraId="6C7B78DA" w14:textId="37518509" w:rsidR="002E4AC4" w:rsidRDefault="004B36D1" w:rsidP="005907A7">
      <w:pPr>
        <w:tabs>
          <w:tab w:val="num" w:pos="72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Les détails de ce plan seront fournis en juillet, mais l’idée </w:t>
      </w:r>
      <w:r w:rsidR="00CD649C">
        <w:rPr>
          <w:rFonts w:ascii="Verdana" w:hAnsi="Verdana"/>
          <w:sz w:val="20"/>
          <w:szCs w:val="20"/>
        </w:rPr>
        <w:t xml:space="preserve">serait d’offrir des </w:t>
      </w:r>
      <w:r w:rsidR="002E4AC4" w:rsidRPr="002E4AC4">
        <w:rPr>
          <w:rFonts w:ascii="Verdana" w:hAnsi="Verdana"/>
          <w:sz w:val="20"/>
          <w:szCs w:val="20"/>
        </w:rPr>
        <w:t xml:space="preserve">prêts à taux zéro aux institutions financières qui augmentent </w:t>
      </w:r>
      <w:r w:rsidR="00CD649C">
        <w:rPr>
          <w:rFonts w:ascii="Verdana" w:hAnsi="Verdana"/>
          <w:sz w:val="20"/>
          <w:szCs w:val="20"/>
        </w:rPr>
        <w:t>l</w:t>
      </w:r>
      <w:r w:rsidR="00CD649C" w:rsidRPr="002E4AC4">
        <w:rPr>
          <w:rFonts w:ascii="Verdana" w:hAnsi="Verdana"/>
          <w:sz w:val="20"/>
          <w:szCs w:val="20"/>
        </w:rPr>
        <w:t>es prêts et les investissements verts</w:t>
      </w:r>
      <w:r w:rsidR="00120ABD">
        <w:rPr>
          <w:rFonts w:ascii="Verdana" w:hAnsi="Verdana"/>
          <w:sz w:val="20"/>
          <w:szCs w:val="20"/>
        </w:rPr>
        <w:t>. Ou</w:t>
      </w:r>
      <w:r w:rsidR="009052C0">
        <w:rPr>
          <w:rFonts w:ascii="Verdana" w:hAnsi="Verdana"/>
          <w:sz w:val="20"/>
          <w:szCs w:val="20"/>
        </w:rPr>
        <w:t xml:space="preserve"> bien,</w:t>
      </w:r>
      <w:r w:rsidR="00120ABD">
        <w:rPr>
          <w:rFonts w:ascii="Verdana" w:hAnsi="Verdana"/>
          <w:sz w:val="20"/>
          <w:szCs w:val="20"/>
        </w:rPr>
        <w:t xml:space="preserve"> elle pourrait aussi offrir </w:t>
      </w:r>
      <w:r w:rsidR="00112B61">
        <w:rPr>
          <w:rFonts w:ascii="Verdana" w:hAnsi="Verdana"/>
          <w:sz w:val="20"/>
          <w:szCs w:val="20"/>
        </w:rPr>
        <w:t>aux institutions financières</w:t>
      </w:r>
      <w:r w:rsidR="00CA088A">
        <w:rPr>
          <w:rFonts w:ascii="Verdana" w:hAnsi="Verdana"/>
          <w:sz w:val="20"/>
          <w:szCs w:val="20"/>
        </w:rPr>
        <w:t>,</w:t>
      </w:r>
      <w:r w:rsidR="00112B61">
        <w:rPr>
          <w:rFonts w:ascii="Verdana" w:hAnsi="Verdana"/>
          <w:sz w:val="20"/>
          <w:szCs w:val="20"/>
        </w:rPr>
        <w:t xml:space="preserve"> qui augmenteraient ces </w:t>
      </w:r>
      <w:r w:rsidR="005907A7">
        <w:rPr>
          <w:rFonts w:ascii="Verdana" w:hAnsi="Verdana"/>
          <w:sz w:val="20"/>
          <w:szCs w:val="20"/>
        </w:rPr>
        <w:t>derniers</w:t>
      </w:r>
      <w:r w:rsidR="00CA088A">
        <w:rPr>
          <w:rFonts w:ascii="Verdana" w:hAnsi="Verdana"/>
          <w:sz w:val="20"/>
          <w:szCs w:val="20"/>
        </w:rPr>
        <w:t>,</w:t>
      </w:r>
      <w:r w:rsidR="005907A7">
        <w:rPr>
          <w:rFonts w:ascii="Verdana" w:hAnsi="Verdana"/>
          <w:sz w:val="20"/>
          <w:szCs w:val="20"/>
        </w:rPr>
        <w:t xml:space="preserve"> </w:t>
      </w:r>
      <w:r w:rsidR="00112B61">
        <w:rPr>
          <w:rFonts w:ascii="Verdana" w:hAnsi="Verdana"/>
          <w:sz w:val="20"/>
          <w:szCs w:val="20"/>
        </w:rPr>
        <w:t xml:space="preserve">le versement </w:t>
      </w:r>
      <w:r w:rsidR="002E4AC4" w:rsidRPr="002E4AC4">
        <w:rPr>
          <w:rFonts w:ascii="Verdana" w:hAnsi="Verdana"/>
          <w:sz w:val="20"/>
          <w:szCs w:val="20"/>
        </w:rPr>
        <w:t>d'un taux d'intérêt de 0,1 %</w:t>
      </w:r>
      <w:r w:rsidR="007D1765">
        <w:rPr>
          <w:rFonts w:ascii="Verdana" w:hAnsi="Verdana"/>
          <w:sz w:val="20"/>
          <w:szCs w:val="20"/>
        </w:rPr>
        <w:t>. L</w:t>
      </w:r>
      <w:r w:rsidR="007A1B49">
        <w:rPr>
          <w:rFonts w:ascii="Verdana" w:hAnsi="Verdana"/>
          <w:sz w:val="20"/>
          <w:szCs w:val="20"/>
        </w:rPr>
        <w:t xml:space="preserve">a BOJ n’a pas encore </w:t>
      </w:r>
      <w:r w:rsidR="005907A7">
        <w:rPr>
          <w:rFonts w:ascii="Verdana" w:hAnsi="Verdana"/>
          <w:sz w:val="20"/>
          <w:szCs w:val="20"/>
        </w:rPr>
        <w:t xml:space="preserve">arrêté son choix mais elle pourrait </w:t>
      </w:r>
      <w:r w:rsidR="00DE58C4">
        <w:rPr>
          <w:rFonts w:ascii="Verdana" w:hAnsi="Verdana"/>
          <w:sz w:val="20"/>
          <w:szCs w:val="20"/>
        </w:rPr>
        <w:t xml:space="preserve">se baser sur un programme similaire qu’elle avait lancé, il y a dix ans, pour soutenir les secteurs de croissance. </w:t>
      </w:r>
    </w:p>
    <w:p w14:paraId="7E8F2807" w14:textId="444422A4" w:rsidR="00DE58C4" w:rsidRDefault="003B1A51" w:rsidP="005907A7">
      <w:pPr>
        <w:tabs>
          <w:tab w:val="num" w:pos="72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Elle </w:t>
      </w:r>
      <w:r w:rsidR="00153B3B">
        <w:rPr>
          <w:rFonts w:ascii="Verdana" w:hAnsi="Verdana"/>
          <w:sz w:val="20"/>
          <w:szCs w:val="20"/>
        </w:rPr>
        <w:t xml:space="preserve">reste par contre très </w:t>
      </w:r>
      <w:r w:rsidR="00330D3F">
        <w:rPr>
          <w:rFonts w:ascii="Verdana" w:hAnsi="Verdana"/>
          <w:sz w:val="20"/>
          <w:szCs w:val="20"/>
        </w:rPr>
        <w:t>circonspect</w:t>
      </w:r>
      <w:r w:rsidR="009052C0">
        <w:rPr>
          <w:rFonts w:ascii="Verdana" w:hAnsi="Verdana"/>
          <w:sz w:val="20"/>
          <w:szCs w:val="20"/>
        </w:rPr>
        <w:t>e</w:t>
      </w:r>
      <w:r w:rsidR="00330D3F">
        <w:rPr>
          <w:rFonts w:ascii="Verdana" w:hAnsi="Verdana"/>
          <w:sz w:val="20"/>
          <w:szCs w:val="20"/>
        </w:rPr>
        <w:t xml:space="preserve"> par rapport à des achats d’obligations vertes </w:t>
      </w:r>
      <w:r w:rsidR="00BD4522">
        <w:rPr>
          <w:rFonts w:ascii="Verdana" w:hAnsi="Verdana"/>
          <w:sz w:val="20"/>
          <w:szCs w:val="20"/>
        </w:rPr>
        <w:t xml:space="preserve">estimant que cela pourrait provoquer des spéculations sur ces dernières par rapport à des obligations classiques et </w:t>
      </w:r>
      <w:r w:rsidR="00017802">
        <w:rPr>
          <w:rFonts w:ascii="Verdana" w:hAnsi="Verdana"/>
          <w:sz w:val="20"/>
          <w:szCs w:val="20"/>
        </w:rPr>
        <w:t>interférer dans la politique du gouvernement. Et aussi en principe, à un moment</w:t>
      </w:r>
      <w:r w:rsidR="003072CA">
        <w:rPr>
          <w:rFonts w:ascii="Verdana" w:hAnsi="Verdana"/>
          <w:sz w:val="20"/>
          <w:szCs w:val="20"/>
        </w:rPr>
        <w:t xml:space="preserve"> donné même si</w:t>
      </w:r>
      <w:r w:rsidR="00017802">
        <w:rPr>
          <w:rFonts w:ascii="Verdana" w:hAnsi="Verdana"/>
          <w:sz w:val="20"/>
          <w:szCs w:val="20"/>
        </w:rPr>
        <w:t xml:space="preserve"> </w:t>
      </w:r>
      <w:r w:rsidR="004639FC">
        <w:rPr>
          <w:rFonts w:ascii="Verdana" w:hAnsi="Verdana"/>
          <w:sz w:val="20"/>
          <w:szCs w:val="20"/>
        </w:rPr>
        <w:t>pas dans l’immédiat évidemment, elle devrait mettre un terme à ses rachats</w:t>
      </w:r>
      <w:r w:rsidR="009E59E8">
        <w:rPr>
          <w:rFonts w:ascii="Verdana" w:hAnsi="Verdana"/>
          <w:sz w:val="20"/>
          <w:szCs w:val="20"/>
        </w:rPr>
        <w:t xml:space="preserve"> et donc l’instrument disparaitrait. </w:t>
      </w:r>
    </w:p>
    <w:p w14:paraId="06F87CC9" w14:textId="05EEDCFE" w:rsidR="009E59E8" w:rsidRPr="00193446" w:rsidRDefault="009052C0" w:rsidP="005907A7">
      <w:pPr>
        <w:tabs>
          <w:tab w:val="num" w:pos="720"/>
        </w:tabs>
        <w:jc w:val="both"/>
        <w:rPr>
          <w:rFonts w:ascii="Verdana" w:hAnsi="Verdana"/>
          <w:color w:val="00B0F0"/>
          <w:sz w:val="20"/>
          <w:szCs w:val="20"/>
        </w:rPr>
      </w:pPr>
      <w:r>
        <w:rPr>
          <w:rFonts w:ascii="Verdana" w:hAnsi="Verdana"/>
          <w:color w:val="00B0F0"/>
          <w:sz w:val="20"/>
          <w:szCs w:val="20"/>
        </w:rPr>
        <w:t>La BOJ se distingue d</w:t>
      </w:r>
      <w:r w:rsidR="00193446" w:rsidRPr="00193446">
        <w:rPr>
          <w:rFonts w:ascii="Verdana" w:hAnsi="Verdana"/>
          <w:color w:val="00B0F0"/>
          <w:sz w:val="20"/>
          <w:szCs w:val="20"/>
        </w:rPr>
        <w:t xml:space="preserve">es autres Banques centrales </w:t>
      </w:r>
    </w:p>
    <w:p w14:paraId="57D826D9" w14:textId="25680C72" w:rsidR="002E4AC4" w:rsidRDefault="001E7EAE" w:rsidP="002E4AC4">
      <w:pPr>
        <w:tabs>
          <w:tab w:val="num" w:pos="72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L’approche est totalement différente </w:t>
      </w:r>
      <w:r w:rsidR="00D97F0A">
        <w:rPr>
          <w:rFonts w:ascii="Verdana" w:hAnsi="Verdana"/>
          <w:sz w:val="20"/>
          <w:szCs w:val="20"/>
        </w:rPr>
        <w:t xml:space="preserve">d’une Banque centrale à l’autre pour plusieurs raisons, même si comme l’a </w:t>
      </w:r>
      <w:r w:rsidR="00C33663">
        <w:rPr>
          <w:rFonts w:ascii="Verdana" w:hAnsi="Verdana"/>
          <w:sz w:val="20"/>
          <w:szCs w:val="20"/>
        </w:rPr>
        <w:t xml:space="preserve">souligné fin 2019 le patron de BlackRock, Larry </w:t>
      </w:r>
      <w:r w:rsidR="00E2117A">
        <w:rPr>
          <w:rFonts w:ascii="Verdana" w:hAnsi="Verdana"/>
          <w:sz w:val="20"/>
          <w:szCs w:val="20"/>
        </w:rPr>
        <w:t xml:space="preserve">Fink, « le risque climatique est un risque financier ». Or qui </w:t>
      </w:r>
      <w:r w:rsidR="006B7A65">
        <w:rPr>
          <w:rFonts w:ascii="Verdana" w:hAnsi="Verdana"/>
          <w:sz w:val="20"/>
          <w:szCs w:val="20"/>
        </w:rPr>
        <w:t>est responsable du risque financier</w:t>
      </w:r>
      <w:r w:rsidR="002A3F3B">
        <w:rPr>
          <w:rFonts w:ascii="Verdana" w:hAnsi="Verdana"/>
          <w:sz w:val="20"/>
          <w:szCs w:val="20"/>
        </w:rPr>
        <w:t>… ?</w:t>
      </w:r>
      <w:r w:rsidR="006B7A65">
        <w:rPr>
          <w:rFonts w:ascii="Verdana" w:hAnsi="Verdana"/>
          <w:sz w:val="20"/>
          <w:szCs w:val="20"/>
        </w:rPr>
        <w:t xml:space="preserve"> </w:t>
      </w:r>
      <w:r w:rsidR="002A3F3B">
        <w:rPr>
          <w:rFonts w:ascii="Verdana" w:hAnsi="Verdana"/>
          <w:sz w:val="20"/>
          <w:szCs w:val="20"/>
        </w:rPr>
        <w:t>L</w:t>
      </w:r>
      <w:r w:rsidR="006B7A65">
        <w:rPr>
          <w:rFonts w:ascii="Verdana" w:hAnsi="Verdana"/>
          <w:sz w:val="20"/>
          <w:szCs w:val="20"/>
        </w:rPr>
        <w:t>es banques centrales</w:t>
      </w:r>
      <w:r w:rsidR="003072CA">
        <w:rPr>
          <w:rFonts w:ascii="Verdana" w:hAnsi="Verdana"/>
          <w:sz w:val="20"/>
          <w:szCs w:val="20"/>
        </w:rPr>
        <w:t xml:space="preserve"> en l’occurrence</w:t>
      </w:r>
      <w:r w:rsidR="006B7A65">
        <w:rPr>
          <w:rFonts w:ascii="Verdana" w:hAnsi="Verdana"/>
          <w:sz w:val="20"/>
          <w:szCs w:val="20"/>
        </w:rPr>
        <w:t xml:space="preserve">. </w:t>
      </w:r>
    </w:p>
    <w:p w14:paraId="63D37218" w14:textId="21380334" w:rsidR="008A5398" w:rsidRDefault="00C16A9E" w:rsidP="008A5398">
      <w:pPr>
        <w:tabs>
          <w:tab w:val="num" w:pos="72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L’annonce de la BOJ </w:t>
      </w:r>
      <w:r w:rsidRPr="00BF2CD5">
        <w:rPr>
          <w:rFonts w:ascii="Verdana" w:hAnsi="Verdana"/>
          <w:sz w:val="20"/>
          <w:szCs w:val="20"/>
        </w:rPr>
        <w:t>p</w:t>
      </w:r>
      <w:r w:rsidR="005A27D8" w:rsidRPr="00BF2CD5">
        <w:rPr>
          <w:rFonts w:ascii="Verdana" w:hAnsi="Verdana"/>
          <w:sz w:val="20"/>
          <w:szCs w:val="20"/>
        </w:rPr>
        <w:t>eut s</w:t>
      </w:r>
      <w:r w:rsidR="00BF2CD5" w:rsidRPr="00BF2CD5">
        <w:rPr>
          <w:rFonts w:ascii="Verdana" w:hAnsi="Verdana"/>
          <w:sz w:val="20"/>
          <w:szCs w:val="20"/>
        </w:rPr>
        <w:t>e</w:t>
      </w:r>
      <w:r w:rsidR="00BF2CD5">
        <w:rPr>
          <w:rFonts w:ascii="Verdana" w:hAnsi="Verdana"/>
          <w:sz w:val="20"/>
          <w:szCs w:val="20"/>
        </w:rPr>
        <w:t xml:space="preserve"> comprendre</w:t>
      </w:r>
      <w:r w:rsidR="005A27D8">
        <w:rPr>
          <w:rFonts w:ascii="Verdana" w:hAnsi="Verdana"/>
          <w:sz w:val="20"/>
          <w:szCs w:val="20"/>
        </w:rPr>
        <w:t xml:space="preserve"> </w:t>
      </w:r>
      <w:r w:rsidR="00CB5DB0">
        <w:rPr>
          <w:rFonts w:ascii="Verdana" w:hAnsi="Verdana"/>
          <w:sz w:val="20"/>
          <w:szCs w:val="20"/>
        </w:rPr>
        <w:t>p</w:t>
      </w:r>
      <w:r w:rsidR="00F45D30">
        <w:rPr>
          <w:rFonts w:ascii="Verdana" w:hAnsi="Verdana"/>
          <w:sz w:val="20"/>
          <w:szCs w:val="20"/>
        </w:rPr>
        <w:t xml:space="preserve">arce </w:t>
      </w:r>
      <w:r w:rsidR="00CB5DB0">
        <w:rPr>
          <w:rFonts w:ascii="Verdana" w:hAnsi="Verdana"/>
          <w:sz w:val="20"/>
          <w:szCs w:val="20"/>
        </w:rPr>
        <w:t>qu’elle</w:t>
      </w:r>
      <w:r w:rsidR="00F45D30">
        <w:rPr>
          <w:rFonts w:ascii="Verdana" w:hAnsi="Verdana"/>
          <w:sz w:val="20"/>
          <w:szCs w:val="20"/>
        </w:rPr>
        <w:t xml:space="preserve"> est relativement peu indépendante </w:t>
      </w:r>
      <w:r w:rsidR="003072CA">
        <w:rPr>
          <w:rFonts w:ascii="Verdana" w:hAnsi="Verdana"/>
          <w:sz w:val="20"/>
          <w:szCs w:val="20"/>
        </w:rPr>
        <w:t>du</w:t>
      </w:r>
      <w:r w:rsidR="00F45D30">
        <w:rPr>
          <w:rFonts w:ascii="Verdana" w:hAnsi="Verdana"/>
          <w:sz w:val="20"/>
          <w:szCs w:val="20"/>
        </w:rPr>
        <w:t xml:space="preserve">  gouvernement</w:t>
      </w:r>
      <w:r w:rsidR="003072CA">
        <w:rPr>
          <w:rFonts w:ascii="Verdana" w:hAnsi="Verdana"/>
          <w:sz w:val="20"/>
          <w:szCs w:val="20"/>
        </w:rPr>
        <w:t xml:space="preserve"> japonais</w:t>
      </w:r>
      <w:r w:rsidR="00F45D30">
        <w:rPr>
          <w:rFonts w:ascii="Verdana" w:hAnsi="Verdana"/>
          <w:sz w:val="20"/>
          <w:szCs w:val="20"/>
        </w:rPr>
        <w:t>, le gouverneur étant choisi par ce dernier</w:t>
      </w:r>
      <w:r w:rsidR="00FB3A1A">
        <w:rPr>
          <w:rFonts w:ascii="Verdana" w:hAnsi="Verdana"/>
          <w:sz w:val="20"/>
          <w:szCs w:val="20"/>
        </w:rPr>
        <w:t xml:space="preserve">. Et </w:t>
      </w:r>
      <w:r w:rsidR="002A3F3B">
        <w:rPr>
          <w:rFonts w:ascii="Verdana" w:hAnsi="Verdana"/>
          <w:sz w:val="20"/>
          <w:szCs w:val="20"/>
        </w:rPr>
        <w:t xml:space="preserve">parce </w:t>
      </w:r>
      <w:r w:rsidR="00FB3A1A">
        <w:rPr>
          <w:rFonts w:ascii="Verdana" w:hAnsi="Verdana"/>
          <w:sz w:val="20"/>
          <w:szCs w:val="20"/>
        </w:rPr>
        <w:t xml:space="preserve">que le gouvernement </w:t>
      </w:r>
      <w:r w:rsidR="008A5398" w:rsidRPr="002E4AC4">
        <w:rPr>
          <w:rFonts w:ascii="Verdana" w:hAnsi="Verdana"/>
          <w:sz w:val="20"/>
          <w:szCs w:val="20"/>
        </w:rPr>
        <w:t>a présenté ce mois-ci une stratégie de croissance faisant de l'investissement vert une priorité politique</w:t>
      </w:r>
      <w:r w:rsidR="00FB3A1A">
        <w:rPr>
          <w:rFonts w:ascii="Verdana" w:hAnsi="Verdana"/>
          <w:sz w:val="20"/>
          <w:szCs w:val="20"/>
        </w:rPr>
        <w:t xml:space="preserve"> qui s’inscrit dans </w:t>
      </w:r>
      <w:r w:rsidR="00B85F43">
        <w:rPr>
          <w:rFonts w:ascii="Verdana" w:hAnsi="Verdana"/>
          <w:sz w:val="20"/>
          <w:szCs w:val="20"/>
        </w:rPr>
        <w:t>l</w:t>
      </w:r>
      <w:r w:rsidR="008A5398" w:rsidRPr="002E4AC4">
        <w:rPr>
          <w:rFonts w:ascii="Verdana" w:hAnsi="Verdana"/>
          <w:sz w:val="20"/>
          <w:szCs w:val="20"/>
        </w:rPr>
        <w:t xml:space="preserve">'engagement pris par </w:t>
      </w:r>
      <w:r w:rsidR="00B85F43">
        <w:rPr>
          <w:rFonts w:ascii="Verdana" w:hAnsi="Verdana"/>
          <w:sz w:val="20"/>
          <w:szCs w:val="20"/>
        </w:rPr>
        <w:t xml:space="preserve">le Premier Ministre </w:t>
      </w:r>
      <w:r w:rsidR="008A5398" w:rsidRPr="002E4AC4">
        <w:rPr>
          <w:rFonts w:ascii="Verdana" w:hAnsi="Verdana"/>
          <w:sz w:val="20"/>
          <w:szCs w:val="20"/>
        </w:rPr>
        <w:t>Suga devant la communauté internationale de rendre le Japon neutre en carbone en 2050.</w:t>
      </w:r>
    </w:p>
    <w:p w14:paraId="4EF7B359" w14:textId="5E4D7725" w:rsidR="00CB5DB0" w:rsidRDefault="00FB3B1A" w:rsidP="008A5398">
      <w:pPr>
        <w:tabs>
          <w:tab w:val="num" w:pos="72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FED</w:t>
      </w:r>
      <w:r w:rsidR="002A3F3B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par contre</w:t>
      </w:r>
      <w:r w:rsidR="002A3F3B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estime que malgré cet enjeu majeur</w:t>
      </w:r>
      <w:r w:rsidR="002A3F3B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ce </w:t>
      </w:r>
      <w:r w:rsidR="002B5DA7">
        <w:rPr>
          <w:rFonts w:ascii="Verdana" w:hAnsi="Verdana"/>
          <w:sz w:val="20"/>
          <w:szCs w:val="20"/>
        </w:rPr>
        <w:t xml:space="preserve">dernier </w:t>
      </w:r>
      <w:r>
        <w:rPr>
          <w:rFonts w:ascii="Verdana" w:hAnsi="Verdana"/>
          <w:sz w:val="20"/>
          <w:szCs w:val="20"/>
        </w:rPr>
        <w:t xml:space="preserve">n’est pas de son ressort car </w:t>
      </w:r>
      <w:r w:rsidR="00642527">
        <w:rPr>
          <w:rFonts w:ascii="Verdana" w:hAnsi="Verdana"/>
          <w:sz w:val="20"/>
          <w:szCs w:val="20"/>
        </w:rPr>
        <w:t xml:space="preserve">il n’est </w:t>
      </w:r>
      <w:r>
        <w:rPr>
          <w:rFonts w:ascii="Verdana" w:hAnsi="Verdana"/>
          <w:sz w:val="20"/>
          <w:szCs w:val="20"/>
        </w:rPr>
        <w:t xml:space="preserve">pas prévu </w:t>
      </w:r>
      <w:r w:rsidR="005B3606">
        <w:rPr>
          <w:rFonts w:ascii="Verdana" w:hAnsi="Verdana"/>
          <w:sz w:val="20"/>
          <w:szCs w:val="20"/>
        </w:rPr>
        <w:t xml:space="preserve">dans le mandat de la Banque centrale </w:t>
      </w:r>
      <w:r w:rsidR="00A3286D">
        <w:rPr>
          <w:rFonts w:ascii="Verdana" w:hAnsi="Verdana"/>
          <w:sz w:val="20"/>
          <w:szCs w:val="20"/>
        </w:rPr>
        <w:t xml:space="preserve">et que </w:t>
      </w:r>
      <w:r w:rsidR="005B3606">
        <w:rPr>
          <w:rFonts w:ascii="Verdana" w:hAnsi="Verdana"/>
          <w:sz w:val="20"/>
          <w:szCs w:val="20"/>
        </w:rPr>
        <w:t xml:space="preserve">c’est au gouvernement de prendre les mesures </w:t>
      </w:r>
      <w:r w:rsidR="00857074">
        <w:rPr>
          <w:rFonts w:ascii="Verdana" w:hAnsi="Verdana"/>
          <w:sz w:val="20"/>
          <w:szCs w:val="20"/>
        </w:rPr>
        <w:t>qui s’imposent.</w:t>
      </w:r>
    </w:p>
    <w:p w14:paraId="5BEB5D08" w14:textId="352A42DB" w:rsidR="003C313B" w:rsidRDefault="003C313B" w:rsidP="004D0629">
      <w:pPr>
        <w:tabs>
          <w:tab w:val="num" w:pos="720"/>
        </w:tabs>
        <w:rPr>
          <w:rFonts w:ascii="Verdana" w:hAnsi="Verdana"/>
          <w:sz w:val="20"/>
          <w:szCs w:val="20"/>
        </w:rPr>
      </w:pPr>
      <w:r w:rsidRPr="003C313B">
        <w:rPr>
          <w:rFonts w:ascii="Verdana" w:hAnsi="Verdana"/>
          <w:sz w:val="20"/>
          <w:szCs w:val="20"/>
        </w:rPr>
        <w:t>Par contre, la BCE par la voi</w:t>
      </w:r>
      <w:r w:rsidR="00BF3447">
        <w:rPr>
          <w:rFonts w:ascii="Verdana" w:hAnsi="Verdana"/>
          <w:sz w:val="20"/>
          <w:szCs w:val="20"/>
        </w:rPr>
        <w:t>x</w:t>
      </w:r>
      <w:r w:rsidRPr="003C313B">
        <w:rPr>
          <w:rFonts w:ascii="Verdana" w:hAnsi="Verdana"/>
          <w:sz w:val="20"/>
          <w:szCs w:val="20"/>
        </w:rPr>
        <w:t xml:space="preserve"> de sa </w:t>
      </w:r>
      <w:r w:rsidR="002A3F3B">
        <w:rPr>
          <w:rFonts w:ascii="Verdana" w:hAnsi="Verdana"/>
          <w:sz w:val="20"/>
          <w:szCs w:val="20"/>
        </w:rPr>
        <w:t>P</w:t>
      </w:r>
      <w:r w:rsidR="004D0629" w:rsidRPr="003C313B">
        <w:rPr>
          <w:rFonts w:ascii="Verdana" w:hAnsi="Verdana"/>
          <w:sz w:val="20"/>
          <w:szCs w:val="20"/>
        </w:rPr>
        <w:t xml:space="preserve">résidente, Christine Lagarde, a clairement indiqué </w:t>
      </w:r>
      <w:r w:rsidR="00DE1A2C">
        <w:rPr>
          <w:rFonts w:ascii="Verdana" w:hAnsi="Verdana"/>
          <w:sz w:val="20"/>
          <w:szCs w:val="20"/>
        </w:rPr>
        <w:t>qu’elle</w:t>
      </w:r>
      <w:r w:rsidR="004D0629" w:rsidRPr="003C313B">
        <w:rPr>
          <w:rFonts w:ascii="Verdana" w:hAnsi="Verdana"/>
          <w:sz w:val="20"/>
          <w:szCs w:val="20"/>
        </w:rPr>
        <w:t xml:space="preserve"> devait apporter sa contribution à la lutte contre le changement climatique</w:t>
      </w:r>
      <w:r w:rsidR="00293E13">
        <w:rPr>
          <w:rFonts w:ascii="Verdana" w:hAnsi="Verdana"/>
          <w:sz w:val="20"/>
          <w:szCs w:val="20"/>
        </w:rPr>
        <w:t xml:space="preserve"> et que cela faisait partie des sujets de discussion dans le cadre de </w:t>
      </w:r>
      <w:r w:rsidR="00055925">
        <w:rPr>
          <w:rFonts w:ascii="Verdana" w:hAnsi="Verdana"/>
          <w:sz w:val="20"/>
          <w:szCs w:val="20"/>
        </w:rPr>
        <w:t>s</w:t>
      </w:r>
      <w:r w:rsidR="00293E13">
        <w:rPr>
          <w:rFonts w:ascii="Verdana" w:hAnsi="Verdana"/>
          <w:sz w:val="20"/>
          <w:szCs w:val="20"/>
        </w:rPr>
        <w:t xml:space="preserve">a </w:t>
      </w:r>
      <w:r w:rsidR="0064676E">
        <w:rPr>
          <w:rFonts w:ascii="Verdana" w:hAnsi="Verdana"/>
          <w:sz w:val="20"/>
          <w:szCs w:val="20"/>
        </w:rPr>
        <w:t xml:space="preserve">révision stratégique. </w:t>
      </w:r>
    </w:p>
    <w:p w14:paraId="3E9B21B2" w14:textId="3432F56D" w:rsidR="0022428C" w:rsidRDefault="0022428C" w:rsidP="004D0629">
      <w:pPr>
        <w:tabs>
          <w:tab w:val="num" w:pos="720"/>
        </w:tabs>
        <w:rPr>
          <w:rFonts w:ascii="Verdana" w:hAnsi="Verdana"/>
          <w:color w:val="00B0F0"/>
          <w:sz w:val="20"/>
          <w:szCs w:val="20"/>
        </w:rPr>
      </w:pPr>
      <w:r w:rsidRPr="0022428C">
        <w:rPr>
          <w:rFonts w:ascii="Verdana" w:hAnsi="Verdana"/>
          <w:color w:val="00B0F0"/>
          <w:sz w:val="20"/>
          <w:szCs w:val="20"/>
        </w:rPr>
        <w:t>Que pourrait faire la BCE ?</w:t>
      </w:r>
    </w:p>
    <w:p w14:paraId="21FE1670" w14:textId="31539D15" w:rsidR="0022428C" w:rsidRDefault="0022428C" w:rsidP="004D0629">
      <w:pPr>
        <w:tabs>
          <w:tab w:val="num" w:pos="7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Après cette annonce </w:t>
      </w:r>
      <w:r w:rsidR="00055925">
        <w:rPr>
          <w:rFonts w:ascii="Verdana" w:hAnsi="Verdana"/>
          <w:sz w:val="20"/>
          <w:szCs w:val="20"/>
        </w:rPr>
        <w:t>de la BOJ</w:t>
      </w:r>
      <w:r w:rsidR="002A3F3B">
        <w:rPr>
          <w:rFonts w:ascii="Verdana" w:hAnsi="Verdana"/>
          <w:sz w:val="20"/>
          <w:szCs w:val="20"/>
        </w:rPr>
        <w:t>,</w:t>
      </w:r>
      <w:r w:rsidR="0005592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le positionnement de la BCE sur le sujet prend encore plus </w:t>
      </w:r>
      <w:r w:rsidR="00A7739A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’acuité </w:t>
      </w:r>
      <w:r w:rsidR="005C334B">
        <w:rPr>
          <w:rFonts w:ascii="Verdana" w:hAnsi="Verdana"/>
          <w:sz w:val="20"/>
          <w:szCs w:val="20"/>
        </w:rPr>
        <w:t xml:space="preserve">d’autant plus que la </w:t>
      </w:r>
      <w:r w:rsidR="00AE3B23">
        <w:rPr>
          <w:rFonts w:ascii="Verdana" w:hAnsi="Verdana"/>
          <w:sz w:val="20"/>
          <w:szCs w:val="20"/>
        </w:rPr>
        <w:t xml:space="preserve">position de la BCE s’inscrit dans le Green Deal de la Commission qui lui donne un cadre </w:t>
      </w:r>
      <w:r w:rsidR="007E12CF">
        <w:rPr>
          <w:rFonts w:ascii="Verdana" w:hAnsi="Verdana"/>
          <w:sz w:val="20"/>
          <w:szCs w:val="20"/>
        </w:rPr>
        <w:t xml:space="preserve">pour répondre aux défis de ce </w:t>
      </w:r>
      <w:r w:rsidR="00642D8F">
        <w:rPr>
          <w:rFonts w:ascii="Verdana" w:hAnsi="Verdana"/>
          <w:sz w:val="20"/>
          <w:szCs w:val="20"/>
        </w:rPr>
        <w:t>deal.</w:t>
      </w:r>
    </w:p>
    <w:p w14:paraId="18EE4E8C" w14:textId="2C8579E0" w:rsidR="00B17DB0" w:rsidRDefault="00642D8F" w:rsidP="007A043E">
      <w:pPr>
        <w:tabs>
          <w:tab w:val="num" w:pos="7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La BCE a déjà</w:t>
      </w:r>
      <w:r w:rsidR="003072CA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="000D5D97">
        <w:rPr>
          <w:rFonts w:ascii="Verdana" w:hAnsi="Verdana"/>
          <w:sz w:val="20"/>
          <w:szCs w:val="20"/>
        </w:rPr>
        <w:t>à la base</w:t>
      </w:r>
      <w:r w:rsidR="003072CA">
        <w:rPr>
          <w:rFonts w:ascii="Verdana" w:hAnsi="Verdana"/>
          <w:sz w:val="20"/>
          <w:szCs w:val="20"/>
        </w:rPr>
        <w:t>,</w:t>
      </w:r>
      <w:r w:rsidR="000D5D97">
        <w:rPr>
          <w:rFonts w:ascii="Verdana" w:hAnsi="Verdana"/>
          <w:sz w:val="20"/>
          <w:szCs w:val="20"/>
        </w:rPr>
        <w:t xml:space="preserve"> un pouvoir de surveillance </w:t>
      </w:r>
      <w:r w:rsidR="00D815C4">
        <w:rPr>
          <w:rFonts w:ascii="Verdana" w:hAnsi="Verdana"/>
          <w:sz w:val="20"/>
          <w:szCs w:val="20"/>
        </w:rPr>
        <w:t xml:space="preserve">qui sera de toute façon élargi puisqu’elle a </w:t>
      </w:r>
      <w:r w:rsidR="004D0629" w:rsidRPr="00D815C4">
        <w:rPr>
          <w:rFonts w:ascii="Verdana" w:hAnsi="Verdana"/>
          <w:sz w:val="20"/>
          <w:szCs w:val="20"/>
        </w:rPr>
        <w:t xml:space="preserve">déjà demandé aux banques de procéder à une auto-évaluation de leur risque climatique et </w:t>
      </w:r>
      <w:r w:rsidR="00D815C4">
        <w:rPr>
          <w:rFonts w:ascii="Verdana" w:hAnsi="Verdana"/>
          <w:sz w:val="20"/>
          <w:szCs w:val="20"/>
        </w:rPr>
        <w:t>qu’</w:t>
      </w:r>
      <w:r w:rsidR="004D0629" w:rsidRPr="00D815C4">
        <w:rPr>
          <w:rFonts w:ascii="Verdana" w:hAnsi="Verdana"/>
          <w:sz w:val="20"/>
          <w:szCs w:val="20"/>
        </w:rPr>
        <w:t>elle effectuera également un test de résistance climatique en 2022.</w:t>
      </w:r>
      <w:r w:rsidR="000231A6">
        <w:rPr>
          <w:rFonts w:ascii="Verdana" w:hAnsi="Verdana"/>
          <w:sz w:val="20"/>
          <w:szCs w:val="20"/>
        </w:rPr>
        <w:t xml:space="preserve"> </w:t>
      </w:r>
      <w:r w:rsidR="00D3122C">
        <w:rPr>
          <w:rFonts w:ascii="Verdana" w:hAnsi="Verdana"/>
          <w:sz w:val="20"/>
          <w:szCs w:val="20"/>
        </w:rPr>
        <w:t>Les banques ont en effet</w:t>
      </w:r>
      <w:r w:rsidR="002A3F3B" w:rsidRPr="00EF0EB5">
        <w:rPr>
          <w:rFonts w:ascii="Verdana" w:hAnsi="Verdana"/>
          <w:sz w:val="20"/>
          <w:szCs w:val="20"/>
        </w:rPr>
        <w:t xml:space="preserve"> largement</w:t>
      </w:r>
      <w:r w:rsidR="00D3122C">
        <w:rPr>
          <w:rFonts w:ascii="Verdana" w:hAnsi="Verdana"/>
          <w:sz w:val="20"/>
          <w:szCs w:val="20"/>
        </w:rPr>
        <w:t xml:space="preserve"> </w:t>
      </w:r>
      <w:r w:rsidR="00B17DB0" w:rsidRPr="00EF0EB5">
        <w:rPr>
          <w:rFonts w:ascii="Verdana" w:hAnsi="Verdana"/>
          <w:sz w:val="20"/>
          <w:szCs w:val="20"/>
        </w:rPr>
        <w:t>financé la recherche, l’exploration et l’exploitation des énergies fossiles</w:t>
      </w:r>
      <w:r w:rsidR="007A043E" w:rsidRPr="00EF0EB5">
        <w:rPr>
          <w:rFonts w:ascii="Verdana" w:hAnsi="Verdana"/>
          <w:sz w:val="20"/>
          <w:szCs w:val="20"/>
        </w:rPr>
        <w:t xml:space="preserve">, et </w:t>
      </w:r>
      <w:r w:rsidR="00B17DB0" w:rsidRPr="00EF0EB5">
        <w:rPr>
          <w:rFonts w:ascii="Verdana" w:hAnsi="Verdana"/>
          <w:sz w:val="20"/>
          <w:szCs w:val="20"/>
        </w:rPr>
        <w:t xml:space="preserve">ces engagements peuvent </w:t>
      </w:r>
      <w:r w:rsidR="006857C8">
        <w:rPr>
          <w:rFonts w:ascii="Verdana" w:hAnsi="Verdana"/>
          <w:sz w:val="20"/>
          <w:szCs w:val="20"/>
        </w:rPr>
        <w:t>entraine</w:t>
      </w:r>
      <w:r w:rsidR="00B17DB0" w:rsidRPr="00EF0EB5">
        <w:rPr>
          <w:rFonts w:ascii="Verdana" w:hAnsi="Verdana"/>
          <w:sz w:val="20"/>
          <w:szCs w:val="20"/>
        </w:rPr>
        <w:t xml:space="preserve">r des risques plus importants que ceux qui avaient été anticipés lors de la mise en place de ces financements. </w:t>
      </w:r>
      <w:r w:rsidR="000C4346">
        <w:rPr>
          <w:rFonts w:ascii="Verdana" w:hAnsi="Verdana"/>
          <w:sz w:val="20"/>
          <w:szCs w:val="20"/>
        </w:rPr>
        <w:t xml:space="preserve">Après ces tests, la BCE pourrait </w:t>
      </w:r>
      <w:r w:rsidR="00B17DB0" w:rsidRPr="00EF0EB5">
        <w:rPr>
          <w:rFonts w:ascii="Verdana" w:hAnsi="Verdana"/>
          <w:sz w:val="20"/>
          <w:szCs w:val="20"/>
        </w:rPr>
        <w:t>exiger des fonds propres plus importants.</w:t>
      </w:r>
    </w:p>
    <w:p w14:paraId="5E2DE10D" w14:textId="74956A7A" w:rsidR="004D0629" w:rsidRDefault="005D32DD" w:rsidP="004D0629">
      <w:pPr>
        <w:tabs>
          <w:tab w:val="num" w:pos="7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question </w:t>
      </w:r>
      <w:r w:rsidR="00B17DB0">
        <w:t xml:space="preserve"> </w:t>
      </w:r>
      <w:r w:rsidR="000958AB" w:rsidRPr="00135812">
        <w:rPr>
          <w:rFonts w:ascii="Verdana" w:hAnsi="Verdana"/>
          <w:sz w:val="20"/>
          <w:szCs w:val="20"/>
        </w:rPr>
        <w:t>d’</w:t>
      </w:r>
      <w:r w:rsidR="004D0629" w:rsidRPr="00135812">
        <w:rPr>
          <w:rFonts w:ascii="Verdana" w:hAnsi="Verdana"/>
          <w:sz w:val="20"/>
          <w:szCs w:val="20"/>
        </w:rPr>
        <w:t xml:space="preserve">orienter les </w:t>
      </w:r>
      <w:r w:rsidR="000958AB" w:rsidRPr="00135812">
        <w:rPr>
          <w:rFonts w:ascii="Verdana" w:hAnsi="Verdana"/>
          <w:sz w:val="20"/>
          <w:szCs w:val="20"/>
        </w:rPr>
        <w:t>ra</w:t>
      </w:r>
      <w:r w:rsidR="004D0629" w:rsidRPr="00135812">
        <w:rPr>
          <w:rFonts w:ascii="Verdana" w:hAnsi="Verdana"/>
          <w:sz w:val="20"/>
          <w:szCs w:val="20"/>
        </w:rPr>
        <w:t>chats d'actifs de manière à favoriser les entreprises dont l'empreinte carbone est plus faible ou celles qui font des efforts pour réduire leurs émissions</w:t>
      </w:r>
      <w:r w:rsidR="00E43FBA" w:rsidRPr="00135812">
        <w:rPr>
          <w:rFonts w:ascii="Verdana" w:hAnsi="Verdana"/>
          <w:sz w:val="20"/>
          <w:szCs w:val="20"/>
        </w:rPr>
        <w:t xml:space="preserve"> est aussi délicate que pour la BOJ. </w:t>
      </w:r>
      <w:r w:rsidR="009E572C" w:rsidRPr="00135812">
        <w:rPr>
          <w:rFonts w:ascii="Verdana" w:hAnsi="Verdana"/>
          <w:sz w:val="20"/>
          <w:szCs w:val="20"/>
        </w:rPr>
        <w:t xml:space="preserve">Ce n’est en principe pas un outil permanent </w:t>
      </w:r>
      <w:r w:rsidR="009C6B6B" w:rsidRPr="00135812">
        <w:rPr>
          <w:rFonts w:ascii="Verdana" w:hAnsi="Verdana"/>
          <w:sz w:val="20"/>
          <w:szCs w:val="20"/>
        </w:rPr>
        <w:t>et cela pourrait créer des bulles spéculatives</w:t>
      </w:r>
      <w:r w:rsidR="00135812" w:rsidRPr="00135812">
        <w:rPr>
          <w:rFonts w:ascii="Verdana" w:hAnsi="Verdana"/>
          <w:sz w:val="20"/>
          <w:szCs w:val="20"/>
        </w:rPr>
        <w:t xml:space="preserve">. </w:t>
      </w:r>
    </w:p>
    <w:p w14:paraId="2322CAAD" w14:textId="7C2AA698" w:rsidR="00C13D70" w:rsidRDefault="00C13D70" w:rsidP="004D0629">
      <w:pPr>
        <w:tabs>
          <w:tab w:val="num" w:pos="7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 contre</w:t>
      </w:r>
      <w:r w:rsidR="00646B98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la BCE </w:t>
      </w:r>
      <w:r w:rsidR="008F106F">
        <w:rPr>
          <w:rFonts w:ascii="Verdana" w:hAnsi="Verdana"/>
          <w:sz w:val="20"/>
          <w:szCs w:val="20"/>
        </w:rPr>
        <w:t>pourrait limiter l’accès au financement</w:t>
      </w:r>
      <w:r w:rsidR="00D54C50">
        <w:rPr>
          <w:rFonts w:ascii="Verdana" w:hAnsi="Verdana"/>
          <w:sz w:val="20"/>
          <w:szCs w:val="20"/>
        </w:rPr>
        <w:t>,</w:t>
      </w:r>
      <w:r w:rsidR="008F106F">
        <w:rPr>
          <w:rFonts w:ascii="Verdana" w:hAnsi="Verdana"/>
          <w:sz w:val="20"/>
          <w:szCs w:val="20"/>
        </w:rPr>
        <w:t xml:space="preserve"> </w:t>
      </w:r>
      <w:r w:rsidR="00D54C50">
        <w:rPr>
          <w:rFonts w:ascii="Verdana" w:hAnsi="Verdana"/>
          <w:sz w:val="20"/>
          <w:szCs w:val="20"/>
        </w:rPr>
        <w:t xml:space="preserve">ou renchérir ce dernier, aux banques qui financent les entreprises qui n’ont pas un bon bilan carbone. </w:t>
      </w:r>
      <w:r w:rsidR="00F510B7">
        <w:rPr>
          <w:rFonts w:ascii="Verdana" w:hAnsi="Verdana"/>
          <w:sz w:val="20"/>
          <w:szCs w:val="20"/>
        </w:rPr>
        <w:t xml:space="preserve">Les entreprises </w:t>
      </w:r>
      <w:r w:rsidR="00D54C50">
        <w:rPr>
          <w:rFonts w:ascii="Verdana" w:hAnsi="Verdana"/>
          <w:sz w:val="20"/>
          <w:szCs w:val="20"/>
        </w:rPr>
        <w:t xml:space="preserve"> devront en effet </w:t>
      </w:r>
      <w:r w:rsidR="009063D8">
        <w:rPr>
          <w:rFonts w:ascii="Verdana" w:hAnsi="Verdana"/>
          <w:sz w:val="20"/>
          <w:szCs w:val="20"/>
        </w:rPr>
        <w:t>mettre en place des bilans carbone dans le cadre du Green deal</w:t>
      </w:r>
      <w:r w:rsidR="00F510B7">
        <w:rPr>
          <w:rFonts w:ascii="Verdana" w:hAnsi="Verdana"/>
          <w:sz w:val="20"/>
          <w:szCs w:val="20"/>
        </w:rPr>
        <w:t xml:space="preserve"> de la Commission</w:t>
      </w:r>
      <w:r w:rsidR="009063D8">
        <w:rPr>
          <w:rFonts w:ascii="Verdana" w:hAnsi="Verdana"/>
          <w:sz w:val="20"/>
          <w:szCs w:val="20"/>
        </w:rPr>
        <w:t xml:space="preserve">. </w:t>
      </w:r>
      <w:r w:rsidR="006D618E">
        <w:rPr>
          <w:rFonts w:ascii="Verdana" w:hAnsi="Verdana"/>
          <w:sz w:val="20"/>
          <w:szCs w:val="20"/>
        </w:rPr>
        <w:t xml:space="preserve">La BCE disposerait alors d’un fort levier de transformation des comportements si elle venait à pénaliser les banques </w:t>
      </w:r>
      <w:r w:rsidR="00FE45FD">
        <w:rPr>
          <w:rFonts w:ascii="Verdana" w:hAnsi="Verdana"/>
          <w:sz w:val="20"/>
          <w:szCs w:val="20"/>
        </w:rPr>
        <w:t xml:space="preserve">ou exiger de ces dernières qu’elles </w:t>
      </w:r>
      <w:r w:rsidR="00A215C0">
        <w:rPr>
          <w:rFonts w:ascii="Verdana" w:hAnsi="Verdana"/>
          <w:sz w:val="20"/>
          <w:szCs w:val="20"/>
        </w:rPr>
        <w:t xml:space="preserve">pénalisent les mauvais élèves en pratiquant des marges crédit </w:t>
      </w:r>
      <w:r w:rsidR="00646B98">
        <w:rPr>
          <w:rFonts w:ascii="Verdana" w:hAnsi="Verdana"/>
          <w:sz w:val="20"/>
          <w:szCs w:val="20"/>
        </w:rPr>
        <w:t xml:space="preserve">plus </w:t>
      </w:r>
      <w:r w:rsidR="006C655D">
        <w:rPr>
          <w:rFonts w:ascii="Verdana" w:hAnsi="Verdana"/>
          <w:sz w:val="20"/>
          <w:szCs w:val="20"/>
        </w:rPr>
        <w:t xml:space="preserve">importantes </w:t>
      </w:r>
      <w:r w:rsidR="00A215C0">
        <w:rPr>
          <w:rFonts w:ascii="Verdana" w:hAnsi="Verdana"/>
          <w:sz w:val="20"/>
          <w:szCs w:val="20"/>
        </w:rPr>
        <w:t xml:space="preserve">pour intégrer le risque climatique. </w:t>
      </w:r>
    </w:p>
    <w:p w14:paraId="0B460730" w14:textId="15E84DDD" w:rsidR="002A3F3B" w:rsidRPr="002A3F3B" w:rsidRDefault="003072CA" w:rsidP="004D0629">
      <w:pPr>
        <w:tabs>
          <w:tab w:val="num" w:pos="720"/>
        </w:tabs>
        <w:rPr>
          <w:rFonts w:ascii="Verdana" w:hAnsi="Verdana"/>
          <w:color w:val="00B0F0"/>
          <w:sz w:val="20"/>
          <w:szCs w:val="20"/>
        </w:rPr>
      </w:pPr>
      <w:r>
        <w:rPr>
          <w:rFonts w:ascii="Verdana" w:hAnsi="Verdana"/>
          <w:color w:val="00B0F0"/>
          <w:sz w:val="20"/>
          <w:szCs w:val="20"/>
        </w:rPr>
        <w:t>Une</w:t>
      </w:r>
      <w:r w:rsidR="002A3F3B" w:rsidRPr="002A3F3B">
        <w:rPr>
          <w:rFonts w:ascii="Verdana" w:hAnsi="Verdana"/>
          <w:color w:val="00B0F0"/>
          <w:sz w:val="20"/>
          <w:szCs w:val="20"/>
        </w:rPr>
        <w:t xml:space="preserve"> plus grande latitude de la BCE </w:t>
      </w:r>
    </w:p>
    <w:p w14:paraId="6DB79240" w14:textId="6E3F2970" w:rsidR="00A215C0" w:rsidRDefault="00A215C0" w:rsidP="004D0629">
      <w:pPr>
        <w:tabs>
          <w:tab w:val="num" w:pos="7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Par rapport </w:t>
      </w:r>
      <w:r w:rsidR="00344F8C">
        <w:rPr>
          <w:rFonts w:ascii="Verdana" w:hAnsi="Verdana"/>
          <w:sz w:val="20"/>
          <w:szCs w:val="20"/>
        </w:rPr>
        <w:t xml:space="preserve">à d’autres </w:t>
      </w:r>
      <w:r w:rsidR="002A3F3B">
        <w:rPr>
          <w:rFonts w:ascii="Verdana" w:hAnsi="Verdana"/>
          <w:sz w:val="20"/>
          <w:szCs w:val="20"/>
        </w:rPr>
        <w:t>B</w:t>
      </w:r>
      <w:r w:rsidR="00344F8C">
        <w:rPr>
          <w:rFonts w:ascii="Verdana" w:hAnsi="Verdana"/>
          <w:sz w:val="20"/>
          <w:szCs w:val="20"/>
        </w:rPr>
        <w:t xml:space="preserve">anques centrales, la BCE est totalement indépendante par rapport aux </w:t>
      </w:r>
      <w:r w:rsidR="00051350">
        <w:rPr>
          <w:rFonts w:ascii="Verdana" w:hAnsi="Verdana"/>
          <w:sz w:val="20"/>
          <w:szCs w:val="20"/>
        </w:rPr>
        <w:t xml:space="preserve">gouvernements et </w:t>
      </w:r>
      <w:r w:rsidR="00EC15DC">
        <w:rPr>
          <w:rFonts w:ascii="Verdana" w:hAnsi="Verdana"/>
          <w:sz w:val="20"/>
          <w:szCs w:val="20"/>
        </w:rPr>
        <w:t xml:space="preserve">dispose donc d’une plus </w:t>
      </w:r>
      <w:r w:rsidR="002A3F3B">
        <w:rPr>
          <w:rFonts w:ascii="Verdana" w:hAnsi="Verdana"/>
          <w:sz w:val="20"/>
          <w:szCs w:val="20"/>
        </w:rPr>
        <w:t>grande</w:t>
      </w:r>
      <w:r w:rsidR="00EC15DC">
        <w:rPr>
          <w:rFonts w:ascii="Verdana" w:hAnsi="Verdana"/>
          <w:sz w:val="20"/>
          <w:szCs w:val="20"/>
        </w:rPr>
        <w:t xml:space="preserve"> latitude</w:t>
      </w:r>
      <w:r w:rsidR="00C04B09">
        <w:rPr>
          <w:rFonts w:ascii="Verdana" w:hAnsi="Verdana"/>
          <w:sz w:val="20"/>
          <w:szCs w:val="20"/>
        </w:rPr>
        <w:t>. De plus, son action s’intègre</w:t>
      </w:r>
      <w:r w:rsidR="006C655D">
        <w:rPr>
          <w:rFonts w:ascii="Verdana" w:hAnsi="Verdana"/>
          <w:sz w:val="20"/>
          <w:szCs w:val="20"/>
        </w:rPr>
        <w:t>rait</w:t>
      </w:r>
      <w:r w:rsidR="00C04B09">
        <w:rPr>
          <w:rFonts w:ascii="Verdana" w:hAnsi="Verdana"/>
          <w:sz w:val="20"/>
          <w:szCs w:val="20"/>
        </w:rPr>
        <w:t xml:space="preserve"> </w:t>
      </w:r>
      <w:r w:rsidR="00D10D09">
        <w:rPr>
          <w:rFonts w:ascii="Verdana" w:hAnsi="Verdana"/>
          <w:sz w:val="20"/>
          <w:szCs w:val="20"/>
        </w:rPr>
        <w:t xml:space="preserve">totalement dans la volonté de la Commission </w:t>
      </w:r>
      <w:r w:rsidR="00E9555F">
        <w:rPr>
          <w:rFonts w:ascii="Verdana" w:hAnsi="Verdana"/>
          <w:sz w:val="20"/>
          <w:szCs w:val="20"/>
        </w:rPr>
        <w:t>européenne</w:t>
      </w:r>
      <w:r w:rsidR="00A71553">
        <w:rPr>
          <w:rFonts w:ascii="Verdana" w:hAnsi="Verdana"/>
          <w:sz w:val="20"/>
          <w:szCs w:val="20"/>
        </w:rPr>
        <w:t xml:space="preserve"> dans le cadre de son Green deal</w:t>
      </w:r>
      <w:r w:rsidR="00EA25A9">
        <w:rPr>
          <w:rFonts w:ascii="Verdana" w:hAnsi="Verdana"/>
          <w:sz w:val="20"/>
          <w:szCs w:val="20"/>
        </w:rPr>
        <w:t xml:space="preserve"> </w:t>
      </w:r>
      <w:r w:rsidR="00A671F7">
        <w:rPr>
          <w:rFonts w:ascii="Verdana" w:hAnsi="Verdana"/>
          <w:sz w:val="20"/>
          <w:szCs w:val="20"/>
        </w:rPr>
        <w:t xml:space="preserve">qui est aussi largement adoubé par le Parlement européen devant lequel Christine Lagarde doit </w:t>
      </w:r>
      <w:r w:rsidR="00E474B3">
        <w:rPr>
          <w:rFonts w:ascii="Verdana" w:hAnsi="Verdana"/>
          <w:sz w:val="20"/>
          <w:szCs w:val="20"/>
        </w:rPr>
        <w:t>justifier sa politique.</w:t>
      </w:r>
    </w:p>
    <w:p w14:paraId="5D452CFB" w14:textId="62298713" w:rsidR="00E474B3" w:rsidRDefault="00C4103E" w:rsidP="004D0629">
      <w:pPr>
        <w:tabs>
          <w:tab w:val="num" w:pos="7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décision de la BOJ </w:t>
      </w:r>
      <w:r w:rsidR="0064700B">
        <w:rPr>
          <w:rFonts w:ascii="Verdana" w:hAnsi="Verdana"/>
          <w:sz w:val="20"/>
          <w:szCs w:val="20"/>
        </w:rPr>
        <w:t xml:space="preserve">est </w:t>
      </w:r>
      <w:r w:rsidR="00EA25A9">
        <w:rPr>
          <w:rFonts w:ascii="Verdana" w:hAnsi="Verdana"/>
          <w:sz w:val="20"/>
          <w:szCs w:val="20"/>
        </w:rPr>
        <w:t>venue</w:t>
      </w:r>
      <w:r w:rsidR="0064700B">
        <w:rPr>
          <w:rFonts w:ascii="Verdana" w:hAnsi="Verdana"/>
          <w:sz w:val="20"/>
          <w:szCs w:val="20"/>
        </w:rPr>
        <w:t xml:space="preserve"> rappeler comme le soulignait son communiqué que  </w:t>
      </w:r>
      <w:r w:rsidR="0064700B" w:rsidRPr="0064700B">
        <w:rPr>
          <w:rFonts w:ascii="Verdana" w:hAnsi="Verdana"/>
          <w:sz w:val="20"/>
          <w:szCs w:val="20"/>
        </w:rPr>
        <w:t>« les questions liées au changement climatique pourraient avoir un impact extrêmement important sur l'activité économique, les prix et les conditions financières à moyen et à long terme ».</w:t>
      </w:r>
      <w:r w:rsidR="0064700B">
        <w:rPr>
          <w:rFonts w:ascii="Verdana" w:hAnsi="Verdana"/>
          <w:sz w:val="20"/>
          <w:szCs w:val="20"/>
        </w:rPr>
        <w:t xml:space="preserve"> </w:t>
      </w:r>
      <w:r w:rsidR="00BF2CD5">
        <w:rPr>
          <w:rFonts w:ascii="Verdana" w:hAnsi="Verdana"/>
          <w:sz w:val="20"/>
          <w:szCs w:val="20"/>
        </w:rPr>
        <w:t>L</w:t>
      </w:r>
      <w:r w:rsidR="007925A5">
        <w:rPr>
          <w:rFonts w:ascii="Verdana" w:hAnsi="Verdana"/>
          <w:sz w:val="20"/>
          <w:szCs w:val="20"/>
        </w:rPr>
        <w:t xml:space="preserve">es Banques centrales auront </w:t>
      </w:r>
      <w:r w:rsidR="00BF2CD5">
        <w:rPr>
          <w:rFonts w:ascii="Verdana" w:hAnsi="Verdana"/>
          <w:sz w:val="20"/>
          <w:szCs w:val="20"/>
        </w:rPr>
        <w:t xml:space="preserve">donc </w:t>
      </w:r>
      <w:r w:rsidR="007925A5">
        <w:rPr>
          <w:rFonts w:ascii="Verdana" w:hAnsi="Verdana"/>
          <w:sz w:val="20"/>
          <w:szCs w:val="20"/>
        </w:rPr>
        <w:t>un rôle extrêmement important à jouer</w:t>
      </w:r>
      <w:r w:rsidR="0000116D">
        <w:rPr>
          <w:rFonts w:ascii="Verdana" w:hAnsi="Verdana"/>
          <w:sz w:val="20"/>
          <w:szCs w:val="20"/>
        </w:rPr>
        <w:t xml:space="preserve">. </w:t>
      </w:r>
      <w:r w:rsidR="00BF2CD5">
        <w:rPr>
          <w:rFonts w:ascii="Verdana" w:hAnsi="Verdana"/>
          <w:sz w:val="20"/>
          <w:szCs w:val="20"/>
        </w:rPr>
        <w:t>Et l</w:t>
      </w:r>
      <w:r w:rsidR="0000116D">
        <w:rPr>
          <w:rFonts w:ascii="Verdana" w:hAnsi="Verdana"/>
          <w:sz w:val="20"/>
          <w:szCs w:val="20"/>
        </w:rPr>
        <w:t xml:space="preserve">es économistes et analystes vont devoir </w:t>
      </w:r>
      <w:r w:rsidR="007B07C9">
        <w:rPr>
          <w:rFonts w:ascii="Verdana" w:hAnsi="Verdana"/>
          <w:sz w:val="20"/>
          <w:szCs w:val="20"/>
        </w:rPr>
        <w:t xml:space="preserve">intégrer </w:t>
      </w:r>
      <w:r w:rsidR="0076090E">
        <w:rPr>
          <w:rFonts w:ascii="Verdana" w:hAnsi="Verdana"/>
          <w:sz w:val="20"/>
          <w:szCs w:val="20"/>
        </w:rPr>
        <w:t xml:space="preserve">ce rôle dans les décisions qu’elles seront amenées à prendre dans le cadre de leur politique monétaire qui intègrera ce risque à l’avenir. </w:t>
      </w:r>
    </w:p>
    <w:p w14:paraId="337280B3" w14:textId="6E2FD4BE" w:rsidR="0076090E" w:rsidRPr="00135812" w:rsidRDefault="0076090E" w:rsidP="004D0629">
      <w:pPr>
        <w:tabs>
          <w:tab w:val="num" w:pos="7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Mais surtout</w:t>
      </w:r>
      <w:r w:rsidR="00BF2CD5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cette décision donne l’opportunité à la BCE de </w:t>
      </w:r>
      <w:r w:rsidR="00750B59">
        <w:rPr>
          <w:rFonts w:ascii="Verdana" w:hAnsi="Verdana"/>
          <w:sz w:val="20"/>
          <w:szCs w:val="20"/>
        </w:rPr>
        <w:t xml:space="preserve">se montrer plus engagée dans </w:t>
      </w:r>
      <w:r w:rsidR="00D24E55">
        <w:rPr>
          <w:rFonts w:ascii="Verdana" w:hAnsi="Verdana"/>
          <w:sz w:val="20"/>
          <w:szCs w:val="20"/>
        </w:rPr>
        <w:t>ce combat et de donner l’exemple qui deviendrait la norme à l’avenir pour toutes les Banques centrales</w:t>
      </w:r>
      <w:r w:rsidR="0064120D">
        <w:rPr>
          <w:rFonts w:ascii="Verdana" w:hAnsi="Verdana"/>
          <w:sz w:val="20"/>
          <w:szCs w:val="20"/>
        </w:rPr>
        <w:t>.</w:t>
      </w:r>
    </w:p>
    <w:p w14:paraId="06D02F3C" w14:textId="59C16391" w:rsidR="004D0629" w:rsidRDefault="004D0629" w:rsidP="004D0629">
      <w:pPr>
        <w:tabs>
          <w:tab w:val="num" w:pos="720"/>
        </w:tabs>
        <w:rPr>
          <w:rFonts w:ascii="Verdana" w:hAnsi="Verdana"/>
          <w:sz w:val="24"/>
          <w:szCs w:val="24"/>
        </w:rPr>
      </w:pPr>
    </w:p>
    <w:p w14:paraId="421CACF5" w14:textId="77777777" w:rsidR="00B85F43" w:rsidRPr="002E4AC4" w:rsidRDefault="00B85F43" w:rsidP="008A5398">
      <w:pPr>
        <w:tabs>
          <w:tab w:val="num" w:pos="720"/>
        </w:tabs>
        <w:jc w:val="both"/>
        <w:rPr>
          <w:rFonts w:ascii="Verdana" w:hAnsi="Verdana"/>
          <w:sz w:val="20"/>
          <w:szCs w:val="20"/>
        </w:rPr>
      </w:pPr>
    </w:p>
    <w:p w14:paraId="366E1F32" w14:textId="41CCF0DD" w:rsidR="00F45D30" w:rsidRDefault="00F45D30" w:rsidP="002E4AC4">
      <w:pPr>
        <w:tabs>
          <w:tab w:val="num" w:pos="720"/>
        </w:tabs>
        <w:jc w:val="both"/>
        <w:rPr>
          <w:rFonts w:ascii="Verdana" w:hAnsi="Verdana"/>
          <w:sz w:val="20"/>
          <w:szCs w:val="20"/>
        </w:rPr>
      </w:pPr>
    </w:p>
    <w:p w14:paraId="34455289" w14:textId="77777777" w:rsidR="006B7A65" w:rsidRPr="002E4AC4" w:rsidRDefault="006B7A65" w:rsidP="002E4AC4">
      <w:pPr>
        <w:tabs>
          <w:tab w:val="num" w:pos="720"/>
        </w:tabs>
        <w:jc w:val="both"/>
        <w:rPr>
          <w:rFonts w:ascii="Verdana" w:hAnsi="Verdana"/>
          <w:sz w:val="20"/>
          <w:szCs w:val="20"/>
        </w:rPr>
      </w:pPr>
    </w:p>
    <w:p w14:paraId="04FF31BD" w14:textId="77777777" w:rsidR="002E4AC4" w:rsidRPr="002E4AC4" w:rsidRDefault="002E4AC4" w:rsidP="002E4AC4">
      <w:pPr>
        <w:tabs>
          <w:tab w:val="num" w:pos="720"/>
        </w:tabs>
        <w:jc w:val="both"/>
        <w:rPr>
          <w:rFonts w:ascii="Verdana" w:hAnsi="Verdana"/>
          <w:sz w:val="20"/>
          <w:szCs w:val="20"/>
        </w:rPr>
      </w:pPr>
    </w:p>
    <w:p w14:paraId="0187D60F" w14:textId="77777777" w:rsidR="002E4AC4" w:rsidRPr="002E4AC4" w:rsidRDefault="002E4AC4" w:rsidP="002E4AC4">
      <w:pPr>
        <w:tabs>
          <w:tab w:val="num" w:pos="720"/>
        </w:tabs>
        <w:jc w:val="both"/>
        <w:rPr>
          <w:rFonts w:ascii="Verdana" w:hAnsi="Verdana"/>
          <w:sz w:val="20"/>
          <w:szCs w:val="20"/>
        </w:rPr>
      </w:pPr>
    </w:p>
    <w:p w14:paraId="3AF19818" w14:textId="77777777" w:rsidR="002E4AC4" w:rsidRPr="002E4AC4" w:rsidRDefault="002E4AC4" w:rsidP="002E4AC4">
      <w:pPr>
        <w:tabs>
          <w:tab w:val="num" w:pos="720"/>
        </w:tabs>
        <w:jc w:val="both"/>
        <w:rPr>
          <w:rFonts w:ascii="Verdana" w:hAnsi="Verdana"/>
          <w:sz w:val="20"/>
          <w:szCs w:val="20"/>
        </w:rPr>
      </w:pPr>
    </w:p>
    <w:p w14:paraId="166BF818" w14:textId="77777777" w:rsidR="002A474D" w:rsidRPr="002A474D" w:rsidRDefault="002A474D" w:rsidP="002A474D">
      <w:pPr>
        <w:tabs>
          <w:tab w:val="num" w:pos="720"/>
        </w:tabs>
        <w:rPr>
          <w:rFonts w:ascii="Verdana" w:hAnsi="Verdana"/>
          <w:sz w:val="24"/>
          <w:szCs w:val="24"/>
        </w:rPr>
      </w:pPr>
    </w:p>
    <w:p w14:paraId="6C0B3DD3" w14:textId="77777777" w:rsidR="00AE7D51" w:rsidRPr="00AE7D51" w:rsidRDefault="00AE7D51" w:rsidP="00AE7D51">
      <w:pPr>
        <w:tabs>
          <w:tab w:val="num" w:pos="720"/>
        </w:tabs>
        <w:rPr>
          <w:rFonts w:ascii="Verdana" w:hAnsi="Verdana"/>
          <w:sz w:val="24"/>
          <w:szCs w:val="24"/>
        </w:rPr>
      </w:pPr>
    </w:p>
    <w:p w14:paraId="1724561F" w14:textId="77777777" w:rsidR="00A6174C" w:rsidRPr="00A15306" w:rsidRDefault="00A6174C">
      <w:pPr>
        <w:rPr>
          <w:rFonts w:ascii="Verdana" w:hAnsi="Verdana"/>
          <w:sz w:val="24"/>
          <w:szCs w:val="24"/>
        </w:rPr>
      </w:pPr>
    </w:p>
    <w:sectPr w:rsidR="00A6174C" w:rsidRPr="00A15306" w:rsidSect="001B1D5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1B9B0" w14:textId="77777777" w:rsidR="00CD65E7" w:rsidRDefault="00CD65E7" w:rsidP="00E22308">
      <w:pPr>
        <w:spacing w:after="0" w:line="240" w:lineRule="auto"/>
      </w:pPr>
      <w:r>
        <w:separator/>
      </w:r>
    </w:p>
  </w:endnote>
  <w:endnote w:type="continuationSeparator" w:id="0">
    <w:p w14:paraId="56508CB8" w14:textId="77777777" w:rsidR="00CD65E7" w:rsidRDefault="00CD65E7" w:rsidP="00E2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3DF8A" w14:textId="77777777" w:rsidR="00CD65E7" w:rsidRDefault="00CD65E7" w:rsidP="00E22308">
      <w:pPr>
        <w:spacing w:after="0" w:line="240" w:lineRule="auto"/>
      </w:pPr>
      <w:r>
        <w:separator/>
      </w:r>
    </w:p>
  </w:footnote>
  <w:footnote w:type="continuationSeparator" w:id="0">
    <w:p w14:paraId="77F59914" w14:textId="77777777" w:rsidR="00CD65E7" w:rsidRDefault="00CD65E7" w:rsidP="00E22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4D366" w14:textId="11663C4A" w:rsidR="00E22308" w:rsidRDefault="00E22308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A2394CA" wp14:editId="0774EB3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5dec4d6e8eb490fcd67daac4" descr="{&quot;HashCode&quot;:41790946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9933E8" w14:textId="29FDBB4F" w:rsidR="00E22308" w:rsidRPr="00E22308" w:rsidRDefault="00E22308" w:rsidP="00E2230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2230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394CA" id="_x0000_t202" coordsize="21600,21600" o:spt="202" path="m,l,21600r21600,l21600,xe">
              <v:stroke joinstyle="miter"/>
              <v:path gradientshapeok="t" o:connecttype="rect"/>
            </v:shapetype>
            <v:shape id="MSIPCM5dec4d6e8eb490fcd67daac4" o:spid="_x0000_s1026" type="#_x0000_t202" alt="{&quot;HashCode&quot;:417909460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" o:allowincell="f" filled="f" stroked="f" strokeweight=".5pt">
              <v:textbox inset=",0,,0">
                <w:txbxContent>
                  <w:p w14:paraId="2F9933E8" w14:textId="29FDBB4F" w:rsidR="00E22308" w:rsidRPr="00E22308" w:rsidRDefault="00E22308" w:rsidP="00E2230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22308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C779B"/>
    <w:multiLevelType w:val="hybridMultilevel"/>
    <w:tmpl w:val="B338D8E8"/>
    <w:lvl w:ilvl="0" w:tplc="B596AB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A242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200C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6E98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7238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BAB3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0A8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A89C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8697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95D23"/>
    <w:multiLevelType w:val="hybridMultilevel"/>
    <w:tmpl w:val="B39A9F6C"/>
    <w:lvl w:ilvl="0" w:tplc="790410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3C80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A6FE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0C44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CA13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DEF0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3C08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6CAE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2A64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F4B05"/>
    <w:multiLevelType w:val="hybridMultilevel"/>
    <w:tmpl w:val="A634AFB0"/>
    <w:lvl w:ilvl="0" w:tplc="A7F037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2253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EA03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3E46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2270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4046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2E4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1682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1C4D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2B"/>
    <w:rsid w:val="0000116D"/>
    <w:rsid w:val="00017802"/>
    <w:rsid w:val="000231A6"/>
    <w:rsid w:val="00033C91"/>
    <w:rsid w:val="00051350"/>
    <w:rsid w:val="00055925"/>
    <w:rsid w:val="000958AB"/>
    <w:rsid w:val="000A2243"/>
    <w:rsid w:val="000B4350"/>
    <w:rsid w:val="000C4346"/>
    <w:rsid w:val="000D16EE"/>
    <w:rsid w:val="000D577B"/>
    <w:rsid w:val="000D5D97"/>
    <w:rsid w:val="000F1085"/>
    <w:rsid w:val="00112B61"/>
    <w:rsid w:val="00120ABD"/>
    <w:rsid w:val="00134FDF"/>
    <w:rsid w:val="00135812"/>
    <w:rsid w:val="00153B3B"/>
    <w:rsid w:val="00193446"/>
    <w:rsid w:val="001B1D5A"/>
    <w:rsid w:val="001E563F"/>
    <w:rsid w:val="001E7EAE"/>
    <w:rsid w:val="002235E8"/>
    <w:rsid w:val="0022428C"/>
    <w:rsid w:val="00236987"/>
    <w:rsid w:val="00293E13"/>
    <w:rsid w:val="002A3F3B"/>
    <w:rsid w:val="002A474D"/>
    <w:rsid w:val="002B5DA7"/>
    <w:rsid w:val="002D5305"/>
    <w:rsid w:val="002E4AC4"/>
    <w:rsid w:val="002F6138"/>
    <w:rsid w:val="00301C61"/>
    <w:rsid w:val="003064FA"/>
    <w:rsid w:val="003072CA"/>
    <w:rsid w:val="00330D3F"/>
    <w:rsid w:val="00344F8C"/>
    <w:rsid w:val="003B0CD4"/>
    <w:rsid w:val="003B1A51"/>
    <w:rsid w:val="003C313B"/>
    <w:rsid w:val="00412A19"/>
    <w:rsid w:val="0041484D"/>
    <w:rsid w:val="00415B68"/>
    <w:rsid w:val="004639FC"/>
    <w:rsid w:val="00484966"/>
    <w:rsid w:val="00486862"/>
    <w:rsid w:val="00490293"/>
    <w:rsid w:val="004960AD"/>
    <w:rsid w:val="004B36D1"/>
    <w:rsid w:val="004D0629"/>
    <w:rsid w:val="004D55D1"/>
    <w:rsid w:val="00547153"/>
    <w:rsid w:val="005907A7"/>
    <w:rsid w:val="005925E0"/>
    <w:rsid w:val="005A27D8"/>
    <w:rsid w:val="005B3606"/>
    <w:rsid w:val="005C334B"/>
    <w:rsid w:val="005D0EAE"/>
    <w:rsid w:val="005D32DD"/>
    <w:rsid w:val="00615ECE"/>
    <w:rsid w:val="0064120D"/>
    <w:rsid w:val="00642527"/>
    <w:rsid w:val="00642D8F"/>
    <w:rsid w:val="0064676E"/>
    <w:rsid w:val="00646B98"/>
    <w:rsid w:val="0064700B"/>
    <w:rsid w:val="006525C0"/>
    <w:rsid w:val="006857C8"/>
    <w:rsid w:val="006B7A65"/>
    <w:rsid w:val="006C4998"/>
    <w:rsid w:val="006C655D"/>
    <w:rsid w:val="006D618E"/>
    <w:rsid w:val="006F324A"/>
    <w:rsid w:val="00711284"/>
    <w:rsid w:val="00750B59"/>
    <w:rsid w:val="007520E0"/>
    <w:rsid w:val="0076090E"/>
    <w:rsid w:val="007663FF"/>
    <w:rsid w:val="007925A5"/>
    <w:rsid w:val="007A043E"/>
    <w:rsid w:val="007A1B49"/>
    <w:rsid w:val="007B07C9"/>
    <w:rsid w:val="007D1765"/>
    <w:rsid w:val="007E12CF"/>
    <w:rsid w:val="00857074"/>
    <w:rsid w:val="0088372D"/>
    <w:rsid w:val="008A5398"/>
    <w:rsid w:val="008B5EB4"/>
    <w:rsid w:val="008E3353"/>
    <w:rsid w:val="008F106F"/>
    <w:rsid w:val="009052C0"/>
    <w:rsid w:val="009063D8"/>
    <w:rsid w:val="00957DE6"/>
    <w:rsid w:val="009C6B6B"/>
    <w:rsid w:val="009C7F13"/>
    <w:rsid w:val="009E3838"/>
    <w:rsid w:val="009E572C"/>
    <w:rsid w:val="009E59E8"/>
    <w:rsid w:val="00A15306"/>
    <w:rsid w:val="00A215C0"/>
    <w:rsid w:val="00A3286D"/>
    <w:rsid w:val="00A6174C"/>
    <w:rsid w:val="00A671F7"/>
    <w:rsid w:val="00A71553"/>
    <w:rsid w:val="00A7739A"/>
    <w:rsid w:val="00A8234A"/>
    <w:rsid w:val="00AC67F9"/>
    <w:rsid w:val="00AE3B23"/>
    <w:rsid w:val="00AE7D51"/>
    <w:rsid w:val="00B17DB0"/>
    <w:rsid w:val="00B85F43"/>
    <w:rsid w:val="00BC0F99"/>
    <w:rsid w:val="00BD4522"/>
    <w:rsid w:val="00BF2CD5"/>
    <w:rsid w:val="00BF3447"/>
    <w:rsid w:val="00C04B09"/>
    <w:rsid w:val="00C13D70"/>
    <w:rsid w:val="00C16A9E"/>
    <w:rsid w:val="00C33663"/>
    <w:rsid w:val="00C4103E"/>
    <w:rsid w:val="00C61C13"/>
    <w:rsid w:val="00C62E3C"/>
    <w:rsid w:val="00C66DD2"/>
    <w:rsid w:val="00CA088A"/>
    <w:rsid w:val="00CB5DB0"/>
    <w:rsid w:val="00CC1CEE"/>
    <w:rsid w:val="00CD12C8"/>
    <w:rsid w:val="00CD649C"/>
    <w:rsid w:val="00CD65E7"/>
    <w:rsid w:val="00D10D09"/>
    <w:rsid w:val="00D2154D"/>
    <w:rsid w:val="00D24E55"/>
    <w:rsid w:val="00D3122C"/>
    <w:rsid w:val="00D4303E"/>
    <w:rsid w:val="00D54C50"/>
    <w:rsid w:val="00D54E67"/>
    <w:rsid w:val="00D6711B"/>
    <w:rsid w:val="00D815C4"/>
    <w:rsid w:val="00D94C89"/>
    <w:rsid w:val="00D97F0A"/>
    <w:rsid w:val="00DE1A2C"/>
    <w:rsid w:val="00DE3D82"/>
    <w:rsid w:val="00DE58C4"/>
    <w:rsid w:val="00DF245B"/>
    <w:rsid w:val="00E2117A"/>
    <w:rsid w:val="00E22308"/>
    <w:rsid w:val="00E43FBA"/>
    <w:rsid w:val="00E474B3"/>
    <w:rsid w:val="00E5372E"/>
    <w:rsid w:val="00E9555F"/>
    <w:rsid w:val="00EA25A9"/>
    <w:rsid w:val="00EB392B"/>
    <w:rsid w:val="00EB44A8"/>
    <w:rsid w:val="00EC15DC"/>
    <w:rsid w:val="00EE7545"/>
    <w:rsid w:val="00EF0EB5"/>
    <w:rsid w:val="00F45D30"/>
    <w:rsid w:val="00F510B7"/>
    <w:rsid w:val="00FA7CEB"/>
    <w:rsid w:val="00FB302F"/>
    <w:rsid w:val="00FB3A1A"/>
    <w:rsid w:val="00FB3B1A"/>
    <w:rsid w:val="00FD7348"/>
    <w:rsid w:val="00FE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D542A0"/>
  <w15:chartTrackingRefBased/>
  <w15:docId w15:val="{5ABE6DD9-2B2D-4EC5-8FC0-420973E1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A22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4E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2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2308"/>
  </w:style>
  <w:style w:type="paragraph" w:styleId="Pieddepage">
    <w:name w:val="footer"/>
    <w:basedOn w:val="Normal"/>
    <w:link w:val="PieddepageCar"/>
    <w:uiPriority w:val="99"/>
    <w:unhideWhenUsed/>
    <w:rsid w:val="00E22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2308"/>
  </w:style>
  <w:style w:type="character" w:customStyle="1" w:styleId="Titre1Car">
    <w:name w:val="Titre 1 Car"/>
    <w:basedOn w:val="Policepardfaut"/>
    <w:link w:val="Titre1"/>
    <w:uiPriority w:val="9"/>
    <w:rsid w:val="000A2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54E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17DB0"/>
    <w:pPr>
      <w:spacing w:after="0" w:line="240" w:lineRule="auto"/>
    </w:pPr>
    <w:rPr>
      <w:rFonts w:ascii="Calibri" w:hAnsi="Calibri" w:cs="Calibri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6045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288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666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730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1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4997</Characters>
  <Application>Microsoft Office Word</Application>
  <DocSecurity>4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Keppenne</dc:creator>
  <cp:keywords/>
  <dc:description/>
  <cp:lastModifiedBy>Fabien Tyteca</cp:lastModifiedBy>
  <cp:revision>2</cp:revision>
  <dcterms:created xsi:type="dcterms:W3CDTF">2021-06-22T14:34:00Z</dcterms:created>
  <dcterms:modified xsi:type="dcterms:W3CDTF">2021-06-22T14:34:00Z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4a7eb9-e308-4cb8-ad88-b50d70445f3a_Enabled">
    <vt:lpwstr>true</vt:lpwstr>
  </property>
  <property fmtid="{D5CDD505-2E9C-101B-9397-08002B2CF9AE}" pid="3" name="MSIP_Label_d44a7eb9-e308-4cb8-ad88-b50d70445f3a_SetDate">
    <vt:lpwstr>2021-06-22T14:33:49Z</vt:lpwstr>
  </property>
  <property fmtid="{D5CDD505-2E9C-101B-9397-08002B2CF9AE}" pid="4" name="MSIP_Label_d44a7eb9-e308-4cb8-ad88-b50d70445f3a_Method">
    <vt:lpwstr>Privileged</vt:lpwstr>
  </property>
  <property fmtid="{D5CDD505-2E9C-101B-9397-08002B2CF9AE}" pid="5" name="MSIP_Label_d44a7eb9-e308-4cb8-ad88-b50d70445f3a_Name">
    <vt:lpwstr>d44a7eb9-e308-4cb8-ad88-b50d70445f3a</vt:lpwstr>
  </property>
  <property fmtid="{D5CDD505-2E9C-101B-9397-08002B2CF9AE}" pid="6" name="MSIP_Label_d44a7eb9-e308-4cb8-ad88-b50d70445f3a_SiteId">
    <vt:lpwstr>64af2aee-7d6c-49ac-a409-192d3fee73b8</vt:lpwstr>
  </property>
  <property fmtid="{D5CDD505-2E9C-101B-9397-08002B2CF9AE}" pid="7" name="MSIP_Label_d44a7eb9-e308-4cb8-ad88-b50d70445f3a_ActionId">
    <vt:lpwstr>b8965e45-8431-4a12-b4b1-b6fddc2baaa8</vt:lpwstr>
  </property>
  <property fmtid="{D5CDD505-2E9C-101B-9397-08002B2CF9AE}" pid="8" name="MSIP_Label_d44a7eb9-e308-4cb8-ad88-b50d70445f3a_ContentBits">
    <vt:lpwstr>1</vt:lpwstr>
  </property>
</Properties>
</file>